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Arvika kommunfullmäktige</w:t>
      </w:r>
    </w:p>
    <w:p>
      <w:pPr>
        <w:pStyle w:val="Heading1"/>
      </w:pPr>
      <w:r>
        <w:t xml:space="preserve">Utbyggnad av säkra cykelvägar till Arvika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Arvika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cykelresor i Arvika är låg enligt Trafikverket 2024. Bättre cykelinfrastruktur minskar bilberoende och förbättrar folkhälsa samt klimatpåverkan.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Arvika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Arvika kommunfullmäktige beslutar att prioritera cykelväg mellan Strandvägen och centrum i investeringsbudget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Arvika kommunfullmäktige beslutar att införa vinterväghållning för cykelbanor.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Arvika kommunfullmäktige beslutar att installera fler cykelparkeringar vid skolor och station.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Arvika kommunfullmäktige beslutar att mäta cykeltrafik årligen.</w:t>
      </w:r>
    </w:p>
    <w:p>
      <w:pPr>
        <w:spacing w:before="360"/>
      </w:pPr>
    </w:p>
    <w:p>
      <w:r>
        <w:t xml:space="preserve">Arvika,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Arvika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2026-07-13T23:33:48.084Z</dcterms:created>
  <dcterms:modified xsi:type="dcterms:W3CDTF">2026-07-13T23:33:48.084Z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